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山东石大胜华化工集团股份有限公司垦利分公司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重要：山东石大胜华化工集团股份有限公司垦利分公司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bookmarkStart w:id="0" w:name="_GoBack"/>
      <w:bookmarkEnd w:id="0"/>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3B02F42"/>
    <w:rsid w:val="13ED5B27"/>
    <w:rsid w:val="14C11E64"/>
    <w:rsid w:val="180F66A1"/>
    <w:rsid w:val="1A8B17B7"/>
    <w:rsid w:val="1AAC6929"/>
    <w:rsid w:val="1C5750BB"/>
    <w:rsid w:val="1D5D11B1"/>
    <w:rsid w:val="1EE10971"/>
    <w:rsid w:val="20436E5A"/>
    <w:rsid w:val="2207652D"/>
    <w:rsid w:val="22165F85"/>
    <w:rsid w:val="227D3E53"/>
    <w:rsid w:val="231C7D63"/>
    <w:rsid w:val="27F77E5D"/>
    <w:rsid w:val="29A3694D"/>
    <w:rsid w:val="2AE0572C"/>
    <w:rsid w:val="30B948F9"/>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2018-08-28T01:36:15Z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